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EAC" w:rsidRDefault="005A4EAC" w:rsidP="004E4A80">
      <w:pPr>
        <w:pStyle w:val="PlainText"/>
      </w:pPr>
    </w:p>
    <w:p w:rsidR="005A4EAC" w:rsidRDefault="005A4EAC" w:rsidP="004E4A80">
      <w:pPr>
        <w:pStyle w:val="PlainText"/>
      </w:pPr>
    </w:p>
    <w:p w:rsidR="00921775" w:rsidRDefault="00921775" w:rsidP="00921775">
      <w:pPr>
        <w:jc w:val="center"/>
        <w:rPr>
          <w:b/>
          <w:sz w:val="28"/>
        </w:rPr>
      </w:pPr>
      <w:r w:rsidRPr="00F00EA9">
        <w:rPr>
          <w:b/>
          <w:sz w:val="28"/>
        </w:rPr>
        <w:t xml:space="preserve">ESIP </w:t>
      </w:r>
      <w:r>
        <w:rPr>
          <w:b/>
          <w:sz w:val="28"/>
        </w:rPr>
        <w:t>Summer</w:t>
      </w:r>
      <w:r w:rsidRPr="00F00EA9">
        <w:rPr>
          <w:b/>
          <w:sz w:val="28"/>
        </w:rPr>
        <w:t xml:space="preserve"> Meeting</w:t>
      </w:r>
      <w:r>
        <w:rPr>
          <w:b/>
          <w:sz w:val="28"/>
        </w:rPr>
        <w:t xml:space="preserve"> 2012</w:t>
      </w:r>
      <w:r w:rsidRPr="00F00EA9">
        <w:rPr>
          <w:b/>
          <w:sz w:val="28"/>
        </w:rPr>
        <w:t xml:space="preserve"> (</w:t>
      </w:r>
      <w:r>
        <w:rPr>
          <w:b/>
          <w:sz w:val="28"/>
        </w:rPr>
        <w:t>Washington, DC</w:t>
      </w:r>
      <w:r w:rsidRPr="00F00EA9">
        <w:rPr>
          <w:b/>
          <w:sz w:val="28"/>
        </w:rPr>
        <w:t>)</w:t>
      </w:r>
    </w:p>
    <w:p w:rsidR="00921775" w:rsidRPr="00F00EA9" w:rsidRDefault="00921775" w:rsidP="00921775">
      <w:pPr>
        <w:jc w:val="center"/>
        <w:rPr>
          <w:b/>
          <w:sz w:val="28"/>
        </w:rPr>
      </w:pPr>
      <w:r>
        <w:rPr>
          <w:b/>
          <w:sz w:val="28"/>
        </w:rPr>
        <w:t>July 17-20, 2012</w:t>
      </w:r>
    </w:p>
    <w:p w:rsidR="00921775" w:rsidRDefault="00921775" w:rsidP="00921775">
      <w:pPr>
        <w:jc w:val="center"/>
        <w:rPr>
          <w:b/>
          <w:sz w:val="28"/>
        </w:rPr>
      </w:pPr>
      <w:r>
        <w:rPr>
          <w:b/>
          <w:sz w:val="28"/>
        </w:rPr>
        <w:t>Energy and Climate WG</w:t>
      </w:r>
      <w:r w:rsidRPr="00F00EA9">
        <w:rPr>
          <w:b/>
          <w:sz w:val="28"/>
        </w:rPr>
        <w:t xml:space="preserve"> </w:t>
      </w:r>
      <w:r>
        <w:rPr>
          <w:b/>
          <w:sz w:val="28"/>
        </w:rPr>
        <w:t xml:space="preserve">– </w:t>
      </w:r>
      <w:r w:rsidRPr="00F00EA9">
        <w:rPr>
          <w:b/>
          <w:sz w:val="28"/>
        </w:rPr>
        <w:t>Agenda</w:t>
      </w:r>
      <w:r>
        <w:rPr>
          <w:b/>
          <w:sz w:val="28"/>
        </w:rPr>
        <w:t xml:space="preserve"> </w:t>
      </w:r>
    </w:p>
    <w:p w:rsidR="00921775" w:rsidRPr="00921775" w:rsidRDefault="00921775" w:rsidP="00921775">
      <w:pPr>
        <w:rPr>
          <w:b/>
          <w:bCs/>
          <w:sz w:val="28"/>
        </w:rPr>
      </w:pPr>
    </w:p>
    <w:p w:rsidR="00921775" w:rsidRPr="00921775" w:rsidRDefault="00921775" w:rsidP="00921775">
      <w:pPr>
        <w:rPr>
          <w:b/>
          <w:bCs/>
          <w:sz w:val="24"/>
        </w:rPr>
      </w:pPr>
      <w:r w:rsidRPr="00921775">
        <w:rPr>
          <w:b/>
          <w:bCs/>
          <w:sz w:val="24"/>
        </w:rPr>
        <w:t xml:space="preserve">July 19, 2012 Thursday </w:t>
      </w:r>
    </w:p>
    <w:p w:rsidR="00921775" w:rsidRPr="00921775" w:rsidRDefault="00921775" w:rsidP="00921775">
      <w:pPr>
        <w:ind w:left="2160" w:hanging="2160"/>
        <w:rPr>
          <w:b/>
          <w:bCs/>
          <w:sz w:val="24"/>
        </w:rPr>
      </w:pPr>
      <w:r w:rsidRPr="00921775">
        <w:rPr>
          <w:b/>
          <w:bCs/>
          <w:sz w:val="24"/>
        </w:rPr>
        <w:t xml:space="preserve">8:30 – 10:00 PM </w:t>
      </w:r>
      <w:r w:rsidRPr="00921775">
        <w:rPr>
          <w:b/>
          <w:bCs/>
          <w:sz w:val="24"/>
        </w:rPr>
        <w:tab/>
        <w:t xml:space="preserve">Track 5: Energy and Climate </w:t>
      </w:r>
      <w:r>
        <w:rPr>
          <w:b/>
          <w:bCs/>
          <w:sz w:val="24"/>
        </w:rPr>
        <w:t xml:space="preserve">WG </w:t>
      </w:r>
      <w:r w:rsidRPr="00921775">
        <w:rPr>
          <w:b/>
          <w:bCs/>
          <w:sz w:val="24"/>
        </w:rPr>
        <w:t xml:space="preserve">– Dynamic Decision Tool Catalog and Community of Practice:  </w:t>
      </w:r>
    </w:p>
    <w:p w:rsidR="00921775" w:rsidRPr="00921775" w:rsidRDefault="00921775" w:rsidP="00921775">
      <w:pPr>
        <w:pStyle w:val="ListParagraph"/>
        <w:numPr>
          <w:ilvl w:val="0"/>
          <w:numId w:val="1"/>
        </w:numPr>
        <w:spacing w:line="240" w:lineRule="auto"/>
        <w:rPr>
          <w:b/>
          <w:sz w:val="24"/>
        </w:rPr>
      </w:pPr>
      <w:r w:rsidRPr="00921775">
        <w:rPr>
          <w:sz w:val="24"/>
          <w:szCs w:val="20"/>
        </w:rPr>
        <w:t>Project Overview – Shailendra Kumar, Consultant</w:t>
      </w:r>
    </w:p>
    <w:p w:rsidR="00921775" w:rsidRPr="00921775" w:rsidRDefault="00921775" w:rsidP="00921775">
      <w:pPr>
        <w:pStyle w:val="ListParagraph"/>
        <w:numPr>
          <w:ilvl w:val="0"/>
          <w:numId w:val="1"/>
        </w:numPr>
        <w:spacing w:line="240" w:lineRule="auto"/>
        <w:rPr>
          <w:b/>
          <w:sz w:val="24"/>
        </w:rPr>
      </w:pPr>
      <w:r w:rsidRPr="00921775">
        <w:rPr>
          <w:sz w:val="24"/>
          <w:szCs w:val="20"/>
        </w:rPr>
        <w:t xml:space="preserve">Government Agency Perspective – Robert Bectel, DOE; Laurie Allen, USGS </w:t>
      </w:r>
    </w:p>
    <w:p w:rsidR="00921775" w:rsidRPr="00921775" w:rsidRDefault="00921775" w:rsidP="00921775">
      <w:pPr>
        <w:pStyle w:val="ListParagraph"/>
        <w:numPr>
          <w:ilvl w:val="0"/>
          <w:numId w:val="1"/>
        </w:numPr>
        <w:spacing w:line="240" w:lineRule="auto"/>
        <w:rPr>
          <w:sz w:val="24"/>
          <w:szCs w:val="20"/>
        </w:rPr>
      </w:pPr>
      <w:r w:rsidRPr="00921775">
        <w:rPr>
          <w:sz w:val="24"/>
          <w:szCs w:val="20"/>
        </w:rPr>
        <w:t>Pilot Project Requirements  – Tabor Allison, AWWI; Student Interns; All</w:t>
      </w:r>
    </w:p>
    <w:p w:rsidR="00921775" w:rsidRDefault="00921775" w:rsidP="00921775">
      <w:pPr>
        <w:rPr>
          <w:b/>
          <w:sz w:val="24"/>
        </w:rPr>
      </w:pPr>
    </w:p>
    <w:p w:rsidR="00921775" w:rsidRPr="00921775" w:rsidRDefault="00921775" w:rsidP="00921775">
      <w:pPr>
        <w:rPr>
          <w:b/>
          <w:sz w:val="24"/>
        </w:rPr>
      </w:pPr>
      <w:r w:rsidRPr="00921775">
        <w:rPr>
          <w:b/>
          <w:sz w:val="24"/>
        </w:rPr>
        <w:t xml:space="preserve">10:00 – 10:30 AM </w:t>
      </w:r>
      <w:r w:rsidRPr="00921775">
        <w:rPr>
          <w:b/>
          <w:sz w:val="24"/>
        </w:rPr>
        <w:tab/>
        <w:t>Break</w:t>
      </w:r>
    </w:p>
    <w:p w:rsidR="00921775" w:rsidRPr="00921775" w:rsidRDefault="00921775" w:rsidP="00921775">
      <w:pPr>
        <w:rPr>
          <w:b/>
          <w:sz w:val="24"/>
        </w:rPr>
      </w:pPr>
    </w:p>
    <w:p w:rsidR="00921775" w:rsidRPr="00921775" w:rsidRDefault="00921775" w:rsidP="00921775">
      <w:pPr>
        <w:rPr>
          <w:b/>
          <w:bCs/>
          <w:sz w:val="24"/>
        </w:rPr>
      </w:pPr>
      <w:r w:rsidRPr="00921775">
        <w:rPr>
          <w:b/>
          <w:sz w:val="24"/>
        </w:rPr>
        <w:t xml:space="preserve">10:30 – 12:00 PM </w:t>
      </w:r>
      <w:r w:rsidRPr="00921775">
        <w:rPr>
          <w:b/>
          <w:bCs/>
          <w:sz w:val="24"/>
        </w:rPr>
        <w:t>Track 5:</w:t>
      </w:r>
      <w:r>
        <w:rPr>
          <w:b/>
          <w:bCs/>
          <w:sz w:val="24"/>
        </w:rPr>
        <w:t xml:space="preserve"> Energy and Climate WG – Energy and Water Nexus</w:t>
      </w:r>
    </w:p>
    <w:p w:rsidR="00921775" w:rsidRPr="00921775" w:rsidRDefault="00921775" w:rsidP="00921775">
      <w:pPr>
        <w:rPr>
          <w:b/>
          <w:sz w:val="24"/>
        </w:rPr>
      </w:pPr>
    </w:p>
    <w:p w:rsidR="00921775" w:rsidRPr="00921775" w:rsidRDefault="00921775" w:rsidP="00921775">
      <w:pPr>
        <w:pStyle w:val="PlainText"/>
        <w:numPr>
          <w:ilvl w:val="0"/>
          <w:numId w:val="1"/>
        </w:numPr>
        <w:rPr>
          <w:rFonts w:asciiTheme="minorHAnsi" w:hAnsiTheme="minorHAnsi"/>
          <w:sz w:val="24"/>
          <w:szCs w:val="20"/>
        </w:rPr>
      </w:pPr>
      <w:r w:rsidRPr="00921775">
        <w:rPr>
          <w:rFonts w:asciiTheme="minorHAnsi" w:hAnsiTheme="minorHAnsi"/>
          <w:sz w:val="24"/>
          <w:szCs w:val="20"/>
        </w:rPr>
        <w:t xml:space="preserve">The U.S. Global Change Research Program (USGCRP), the National Climate Assessment (NCA) and the Global Change Information System </w:t>
      </w:r>
      <w:r w:rsidRPr="00921775">
        <w:rPr>
          <w:sz w:val="24"/>
          <w:szCs w:val="20"/>
        </w:rPr>
        <w:t xml:space="preserve">– </w:t>
      </w:r>
      <w:r w:rsidRPr="00921775">
        <w:rPr>
          <w:rFonts w:asciiTheme="minorHAnsi" w:hAnsiTheme="minorHAnsi"/>
          <w:sz w:val="24"/>
          <w:szCs w:val="20"/>
        </w:rPr>
        <w:t>Curt Tilmes, USGCRP</w:t>
      </w:r>
    </w:p>
    <w:p w:rsidR="00921775" w:rsidRPr="00921775" w:rsidRDefault="00921775" w:rsidP="00921775">
      <w:pPr>
        <w:pStyle w:val="PlainText"/>
        <w:ind w:left="360"/>
        <w:rPr>
          <w:rFonts w:asciiTheme="minorHAnsi" w:hAnsiTheme="minorHAnsi"/>
          <w:sz w:val="24"/>
          <w:szCs w:val="20"/>
        </w:rPr>
      </w:pPr>
    </w:p>
    <w:p w:rsidR="00921775" w:rsidRPr="00921775" w:rsidRDefault="00921775" w:rsidP="00921775">
      <w:pPr>
        <w:pStyle w:val="PlainText"/>
        <w:numPr>
          <w:ilvl w:val="0"/>
          <w:numId w:val="1"/>
        </w:numPr>
        <w:rPr>
          <w:rFonts w:asciiTheme="minorHAnsi" w:hAnsiTheme="minorHAnsi"/>
          <w:sz w:val="24"/>
          <w:szCs w:val="20"/>
        </w:rPr>
      </w:pPr>
      <w:r w:rsidRPr="00921775">
        <w:rPr>
          <w:rFonts w:asciiTheme="minorHAnsi" w:hAnsiTheme="minorHAnsi"/>
          <w:sz w:val="24"/>
          <w:szCs w:val="20"/>
        </w:rPr>
        <w:t xml:space="preserve">U.S. Energy Security and Water </w:t>
      </w:r>
      <w:r w:rsidRPr="00921775">
        <w:rPr>
          <w:sz w:val="24"/>
          <w:szCs w:val="20"/>
        </w:rPr>
        <w:t>–</w:t>
      </w:r>
      <w:r w:rsidRPr="00921775">
        <w:rPr>
          <w:rFonts w:asciiTheme="minorHAnsi" w:hAnsiTheme="minorHAnsi"/>
          <w:sz w:val="24"/>
          <w:szCs w:val="20"/>
        </w:rPr>
        <w:t xml:space="preserve"> Paul Faeth, CNA Corp.</w:t>
      </w:r>
    </w:p>
    <w:p w:rsidR="00921775" w:rsidRPr="00921775" w:rsidRDefault="00921775" w:rsidP="00921775">
      <w:pPr>
        <w:pStyle w:val="PlainText"/>
        <w:rPr>
          <w:rFonts w:asciiTheme="minorHAnsi" w:hAnsiTheme="minorHAnsi"/>
          <w:sz w:val="24"/>
          <w:szCs w:val="20"/>
        </w:rPr>
      </w:pPr>
    </w:p>
    <w:p w:rsidR="00921775" w:rsidRPr="00921775" w:rsidRDefault="00921775" w:rsidP="00921775">
      <w:pPr>
        <w:pStyle w:val="ListParagraph"/>
        <w:numPr>
          <w:ilvl w:val="0"/>
          <w:numId w:val="1"/>
        </w:numPr>
        <w:rPr>
          <w:rFonts w:asciiTheme="minorHAnsi" w:hAnsiTheme="minorHAnsi"/>
          <w:sz w:val="24"/>
          <w:szCs w:val="20"/>
        </w:rPr>
      </w:pPr>
      <w:r w:rsidRPr="00921775">
        <w:rPr>
          <w:rFonts w:asciiTheme="minorHAnsi" w:hAnsiTheme="minorHAnsi"/>
          <w:sz w:val="24"/>
          <w:szCs w:val="20"/>
        </w:rPr>
        <w:t xml:space="preserve">The energy-water security nexus: a military view </w:t>
      </w:r>
      <w:r w:rsidRPr="00921775">
        <w:rPr>
          <w:sz w:val="24"/>
          <w:szCs w:val="20"/>
        </w:rPr>
        <w:t xml:space="preserve">– </w:t>
      </w:r>
      <w:r w:rsidRPr="00921775">
        <w:rPr>
          <w:rFonts w:asciiTheme="minorHAnsi" w:hAnsiTheme="minorHAnsi"/>
          <w:sz w:val="24"/>
          <w:szCs w:val="20"/>
        </w:rPr>
        <w:t>Chad M Briggs, Minerva Defense Fellow &amp; Chair of Energy and Environmental Security Spaatz Center, US Air University, Maxwell AFB, AL (via WebEx)</w:t>
      </w:r>
    </w:p>
    <w:p w:rsidR="00921775" w:rsidRPr="006127DA" w:rsidRDefault="00921775" w:rsidP="00921775">
      <w:pPr>
        <w:ind w:left="360"/>
        <w:rPr>
          <w:sz w:val="20"/>
        </w:rPr>
      </w:pPr>
    </w:p>
    <w:p w:rsidR="00921775" w:rsidRPr="0089538C" w:rsidRDefault="00921775" w:rsidP="00921775">
      <w:pPr>
        <w:rPr>
          <w:sz w:val="20"/>
        </w:rPr>
      </w:pPr>
    </w:p>
    <w:p w:rsidR="00921775" w:rsidRDefault="00921775">
      <w:pPr>
        <w:rPr>
          <w:b/>
          <w:sz w:val="28"/>
        </w:rPr>
      </w:pPr>
      <w:r>
        <w:rPr>
          <w:b/>
          <w:sz w:val="28"/>
        </w:rPr>
        <w:br w:type="page"/>
      </w:r>
    </w:p>
    <w:p w:rsidR="00F37242" w:rsidRDefault="00785B05" w:rsidP="00F37242">
      <w:pPr>
        <w:jc w:val="center"/>
        <w:rPr>
          <w:b/>
          <w:sz w:val="28"/>
        </w:rPr>
      </w:pPr>
      <w:r>
        <w:rPr>
          <w:b/>
          <w:sz w:val="28"/>
        </w:rPr>
        <w:lastRenderedPageBreak/>
        <w:t>ABSTRACTS</w:t>
      </w:r>
      <w:r w:rsidR="00F37242">
        <w:rPr>
          <w:b/>
          <w:sz w:val="28"/>
        </w:rPr>
        <w:t xml:space="preserve"> </w:t>
      </w:r>
    </w:p>
    <w:p w:rsidR="005A4EAC" w:rsidRDefault="005A4EAC" w:rsidP="004E4A80">
      <w:pPr>
        <w:pStyle w:val="PlainText"/>
      </w:pPr>
      <w:bookmarkStart w:id="0" w:name="_GoBack"/>
      <w:bookmarkEnd w:id="0"/>
    </w:p>
    <w:p w:rsidR="005A4EAC" w:rsidRDefault="005A4EAC" w:rsidP="004E4A80">
      <w:pPr>
        <w:pStyle w:val="PlainText"/>
      </w:pPr>
    </w:p>
    <w:p w:rsidR="004E4A80" w:rsidRDefault="004E4A80" w:rsidP="004E4A80">
      <w:pPr>
        <w:pStyle w:val="PlainText"/>
      </w:pPr>
    </w:p>
    <w:p w:rsidR="004E4A80" w:rsidRPr="00633788" w:rsidRDefault="004E4A80" w:rsidP="004E4A80">
      <w:pPr>
        <w:pStyle w:val="PlainText"/>
        <w:rPr>
          <w:rFonts w:asciiTheme="minorHAnsi" w:hAnsiTheme="minorHAnsi"/>
          <w:b/>
          <w:sz w:val="22"/>
          <w:szCs w:val="22"/>
        </w:rPr>
      </w:pPr>
      <w:r w:rsidRPr="00633788">
        <w:rPr>
          <w:rFonts w:asciiTheme="minorHAnsi" w:hAnsiTheme="minorHAnsi"/>
          <w:b/>
          <w:sz w:val="22"/>
          <w:szCs w:val="22"/>
        </w:rPr>
        <w:t>Title: The U.S. Global Change Research Program (USGCRP), the National Climate Assessment (NCA) and the Global Change Information System</w:t>
      </w:r>
    </w:p>
    <w:p w:rsidR="004E4A80" w:rsidRPr="00633788" w:rsidRDefault="004E4A80" w:rsidP="004E4A80">
      <w:pPr>
        <w:pStyle w:val="PlainText"/>
        <w:rPr>
          <w:rFonts w:asciiTheme="minorHAnsi" w:hAnsiTheme="minorHAnsi"/>
          <w:b/>
          <w:sz w:val="22"/>
          <w:szCs w:val="22"/>
        </w:rPr>
      </w:pPr>
      <w:r w:rsidRPr="00633788">
        <w:rPr>
          <w:rFonts w:asciiTheme="minorHAnsi" w:hAnsiTheme="minorHAnsi"/>
          <w:b/>
          <w:sz w:val="22"/>
          <w:szCs w:val="22"/>
        </w:rPr>
        <w:t>(GCIS)</w:t>
      </w:r>
    </w:p>
    <w:p w:rsidR="004E4A80" w:rsidRPr="00633788" w:rsidRDefault="004E4A80" w:rsidP="004E4A80">
      <w:pPr>
        <w:pStyle w:val="PlainText"/>
        <w:rPr>
          <w:rFonts w:asciiTheme="minorHAnsi" w:hAnsiTheme="minorHAnsi"/>
          <w:b/>
          <w:sz w:val="22"/>
          <w:szCs w:val="22"/>
        </w:rPr>
      </w:pPr>
    </w:p>
    <w:p w:rsidR="00F37242" w:rsidRPr="00633788" w:rsidRDefault="00F37242" w:rsidP="004E4A80">
      <w:pPr>
        <w:pStyle w:val="PlainText"/>
        <w:rPr>
          <w:rFonts w:asciiTheme="minorHAnsi" w:hAnsiTheme="minorHAnsi"/>
          <w:b/>
          <w:sz w:val="22"/>
          <w:szCs w:val="22"/>
        </w:rPr>
      </w:pPr>
      <w:r w:rsidRPr="00633788">
        <w:rPr>
          <w:rFonts w:asciiTheme="minorHAnsi" w:hAnsiTheme="minorHAnsi"/>
          <w:b/>
          <w:sz w:val="22"/>
          <w:szCs w:val="22"/>
        </w:rPr>
        <w:t>Speaker: Curt Tilmes, USGCRP</w:t>
      </w:r>
    </w:p>
    <w:p w:rsidR="00F37242" w:rsidRPr="00633788" w:rsidRDefault="00F37242" w:rsidP="004E4A80">
      <w:pPr>
        <w:pStyle w:val="PlainText"/>
        <w:rPr>
          <w:rFonts w:asciiTheme="minorHAnsi" w:hAnsiTheme="minorHAnsi"/>
          <w:b/>
          <w:sz w:val="22"/>
          <w:szCs w:val="22"/>
        </w:rPr>
      </w:pPr>
    </w:p>
    <w:p w:rsidR="004E4A80" w:rsidRPr="00633788" w:rsidRDefault="004E4A80" w:rsidP="004E4A80">
      <w:pPr>
        <w:pStyle w:val="PlainText"/>
        <w:rPr>
          <w:rFonts w:asciiTheme="minorHAnsi" w:hAnsiTheme="minorHAnsi"/>
          <w:b/>
          <w:sz w:val="22"/>
          <w:szCs w:val="22"/>
        </w:rPr>
      </w:pPr>
      <w:r w:rsidRPr="00633788">
        <w:rPr>
          <w:rFonts w:asciiTheme="minorHAnsi" w:hAnsiTheme="minorHAnsi"/>
          <w:b/>
          <w:sz w:val="22"/>
          <w:szCs w:val="22"/>
        </w:rPr>
        <w:t>Abstract:</w:t>
      </w:r>
    </w:p>
    <w:p w:rsidR="004E4A80" w:rsidRPr="00633788" w:rsidRDefault="004E4A80" w:rsidP="004E4A80">
      <w:pPr>
        <w:pStyle w:val="PlainText"/>
        <w:rPr>
          <w:rFonts w:asciiTheme="minorHAnsi" w:hAnsiTheme="minorHAnsi"/>
          <w:b/>
          <w:sz w:val="22"/>
          <w:szCs w:val="22"/>
        </w:rPr>
      </w:pPr>
    </w:p>
    <w:p w:rsidR="004E4A80" w:rsidRPr="00F37242" w:rsidRDefault="004E4A80" w:rsidP="004E4A80">
      <w:pPr>
        <w:pStyle w:val="PlainText"/>
        <w:rPr>
          <w:rFonts w:asciiTheme="minorHAnsi" w:hAnsiTheme="minorHAnsi"/>
          <w:sz w:val="22"/>
          <w:szCs w:val="22"/>
        </w:rPr>
      </w:pPr>
      <w:r w:rsidRPr="00F37242">
        <w:rPr>
          <w:rFonts w:asciiTheme="minorHAnsi" w:hAnsiTheme="minorHAnsi"/>
          <w:sz w:val="22"/>
          <w:szCs w:val="22"/>
        </w:rPr>
        <w:t>The U.S. Global Change Research Program (globalchange.gov) coordinates and integrates federal research on changes in the global environment and their implications for society. The USGCRP is now coordinating production of a National Climate Assessment</w:t>
      </w:r>
    </w:p>
    <w:p w:rsidR="004E4A80" w:rsidRPr="00F37242" w:rsidRDefault="004E4A80" w:rsidP="004E4A80">
      <w:pPr>
        <w:pStyle w:val="PlainText"/>
        <w:rPr>
          <w:rFonts w:asciiTheme="minorHAnsi" w:hAnsiTheme="minorHAnsi"/>
          <w:sz w:val="22"/>
          <w:szCs w:val="22"/>
        </w:rPr>
      </w:pPr>
      <w:r w:rsidRPr="00F37242">
        <w:rPr>
          <w:rFonts w:asciiTheme="minorHAnsi" w:hAnsiTheme="minorHAnsi"/>
          <w:sz w:val="22"/>
          <w:szCs w:val="22"/>
        </w:rPr>
        <w:t>(assessment.globalchange.gov) that analyzes the effects of global change on the natural environment, agriculture, energy production and use, land and water resources, transportation, human health and welfare, human social systems, and biological diversity; and analyzes current trends in global change, both human-induced and natural, and projects major trends for the subsequent 25 to 100 years.  The Global Change Information System (GCIS) will present the content of the NCA, linking back to their provenance: the scientific papers, models, datasets, etc. supporting their conclusions.  After the NCA, the GCIS will extend to link to information related to global change throughout the USGCRP.</w:t>
      </w:r>
    </w:p>
    <w:p w:rsidR="004E4A80" w:rsidRPr="00F37242" w:rsidRDefault="004E4A80" w:rsidP="004E4A80">
      <w:pPr>
        <w:pStyle w:val="PlainText"/>
        <w:rPr>
          <w:rFonts w:asciiTheme="minorHAnsi" w:hAnsiTheme="minorHAnsi"/>
          <w:sz w:val="22"/>
          <w:szCs w:val="22"/>
        </w:rPr>
      </w:pPr>
    </w:p>
    <w:p w:rsidR="004E4A80" w:rsidRPr="00633788" w:rsidRDefault="00F37242" w:rsidP="004E4A80">
      <w:pPr>
        <w:pStyle w:val="PlainText"/>
        <w:rPr>
          <w:rFonts w:asciiTheme="minorHAnsi" w:hAnsiTheme="minorHAnsi"/>
          <w:b/>
          <w:sz w:val="22"/>
          <w:szCs w:val="22"/>
        </w:rPr>
      </w:pPr>
      <w:r w:rsidRPr="00633788">
        <w:rPr>
          <w:rFonts w:asciiTheme="minorHAnsi" w:hAnsiTheme="minorHAnsi"/>
          <w:b/>
          <w:sz w:val="22"/>
          <w:szCs w:val="22"/>
        </w:rPr>
        <w:t>Contact:</w:t>
      </w:r>
    </w:p>
    <w:p w:rsidR="00F37242" w:rsidRPr="00F37242" w:rsidRDefault="00F37242" w:rsidP="004E4A80">
      <w:pPr>
        <w:pStyle w:val="PlainText"/>
        <w:rPr>
          <w:rFonts w:asciiTheme="minorHAnsi" w:hAnsiTheme="minorHAnsi"/>
          <w:sz w:val="22"/>
          <w:szCs w:val="22"/>
        </w:rPr>
      </w:pPr>
    </w:p>
    <w:p w:rsidR="004E4A80" w:rsidRPr="00F37242" w:rsidRDefault="004E4A80" w:rsidP="004E4A80">
      <w:pPr>
        <w:pStyle w:val="PlainText"/>
        <w:rPr>
          <w:rFonts w:asciiTheme="minorHAnsi" w:hAnsiTheme="minorHAnsi"/>
          <w:sz w:val="22"/>
          <w:szCs w:val="22"/>
        </w:rPr>
      </w:pPr>
      <w:r w:rsidRPr="00F37242">
        <w:rPr>
          <w:rFonts w:asciiTheme="minorHAnsi" w:hAnsiTheme="minorHAnsi"/>
          <w:sz w:val="22"/>
          <w:szCs w:val="22"/>
        </w:rPr>
        <w:t>Curt Tilmes, Ph.D.</w:t>
      </w:r>
    </w:p>
    <w:p w:rsidR="004E4A80" w:rsidRPr="00F37242" w:rsidRDefault="004E4A80" w:rsidP="004E4A80">
      <w:pPr>
        <w:pStyle w:val="PlainText"/>
        <w:rPr>
          <w:rFonts w:asciiTheme="minorHAnsi" w:hAnsiTheme="minorHAnsi"/>
          <w:sz w:val="22"/>
          <w:szCs w:val="22"/>
        </w:rPr>
      </w:pPr>
      <w:r w:rsidRPr="00F37242">
        <w:rPr>
          <w:rFonts w:asciiTheme="minorHAnsi" w:hAnsiTheme="minorHAnsi"/>
          <w:sz w:val="22"/>
          <w:szCs w:val="22"/>
        </w:rPr>
        <w:t>U.S. Global Change Research Program</w:t>
      </w:r>
    </w:p>
    <w:p w:rsidR="004E4A80" w:rsidRPr="00F37242" w:rsidRDefault="004E4A80" w:rsidP="004E4A80">
      <w:pPr>
        <w:pStyle w:val="PlainText"/>
        <w:rPr>
          <w:rFonts w:asciiTheme="minorHAnsi" w:hAnsiTheme="minorHAnsi"/>
          <w:sz w:val="22"/>
          <w:szCs w:val="22"/>
        </w:rPr>
      </w:pPr>
      <w:r w:rsidRPr="00F37242">
        <w:rPr>
          <w:rFonts w:asciiTheme="minorHAnsi" w:hAnsiTheme="minorHAnsi"/>
          <w:sz w:val="22"/>
          <w:szCs w:val="22"/>
        </w:rPr>
        <w:t>1717 Pennsylvania Avenue NW, Suite 250</w:t>
      </w:r>
    </w:p>
    <w:p w:rsidR="004E4A80" w:rsidRPr="00F37242" w:rsidRDefault="004E4A80" w:rsidP="004E4A80">
      <w:pPr>
        <w:pStyle w:val="PlainText"/>
        <w:rPr>
          <w:rFonts w:asciiTheme="minorHAnsi" w:hAnsiTheme="minorHAnsi"/>
          <w:sz w:val="22"/>
          <w:szCs w:val="22"/>
        </w:rPr>
      </w:pPr>
      <w:r w:rsidRPr="00F37242">
        <w:rPr>
          <w:rFonts w:asciiTheme="minorHAnsi" w:hAnsiTheme="minorHAnsi"/>
          <w:sz w:val="22"/>
          <w:szCs w:val="22"/>
        </w:rPr>
        <w:t>Washington, D.C. 20006, USA</w:t>
      </w:r>
    </w:p>
    <w:p w:rsidR="004E4A80" w:rsidRPr="00F37242" w:rsidRDefault="004E4A80" w:rsidP="004E4A80">
      <w:pPr>
        <w:pStyle w:val="PlainText"/>
        <w:rPr>
          <w:rFonts w:asciiTheme="minorHAnsi" w:hAnsiTheme="minorHAnsi"/>
          <w:sz w:val="22"/>
          <w:szCs w:val="22"/>
        </w:rPr>
      </w:pPr>
    </w:p>
    <w:p w:rsidR="004E4A80" w:rsidRPr="00F37242" w:rsidRDefault="004E4A80" w:rsidP="004E4A80">
      <w:pPr>
        <w:pStyle w:val="PlainText"/>
        <w:rPr>
          <w:rFonts w:asciiTheme="minorHAnsi" w:hAnsiTheme="minorHAnsi"/>
          <w:sz w:val="22"/>
          <w:szCs w:val="22"/>
        </w:rPr>
      </w:pPr>
      <w:r w:rsidRPr="00F37242">
        <w:rPr>
          <w:rFonts w:asciiTheme="minorHAnsi" w:hAnsiTheme="minorHAnsi"/>
          <w:sz w:val="22"/>
          <w:szCs w:val="22"/>
        </w:rPr>
        <w:t>+1 202-419-3479 (office)</w:t>
      </w:r>
    </w:p>
    <w:p w:rsidR="004E4A80" w:rsidRPr="00F37242" w:rsidRDefault="004E4A80" w:rsidP="004E4A80">
      <w:pPr>
        <w:pStyle w:val="PlainText"/>
        <w:rPr>
          <w:rFonts w:asciiTheme="minorHAnsi" w:hAnsiTheme="minorHAnsi"/>
          <w:sz w:val="22"/>
          <w:szCs w:val="22"/>
        </w:rPr>
      </w:pPr>
      <w:r w:rsidRPr="00F37242">
        <w:rPr>
          <w:rFonts w:asciiTheme="minorHAnsi" w:hAnsiTheme="minorHAnsi"/>
          <w:sz w:val="22"/>
          <w:szCs w:val="22"/>
        </w:rPr>
        <w:t>+1 443-987-6228 (cell)</w:t>
      </w:r>
    </w:p>
    <w:p w:rsidR="004E4A80" w:rsidRPr="00F37242" w:rsidRDefault="004E4A80" w:rsidP="004E4A80">
      <w:pPr>
        <w:pStyle w:val="PlainText"/>
        <w:rPr>
          <w:rFonts w:asciiTheme="minorHAnsi" w:hAnsiTheme="minorHAnsi"/>
          <w:sz w:val="22"/>
          <w:szCs w:val="22"/>
        </w:rPr>
      </w:pPr>
      <w:r w:rsidRPr="00F37242">
        <w:rPr>
          <w:rFonts w:asciiTheme="minorHAnsi" w:hAnsiTheme="minorHAnsi"/>
          <w:sz w:val="22"/>
          <w:szCs w:val="22"/>
        </w:rPr>
        <w:t>globalchange.gov</w:t>
      </w:r>
    </w:p>
    <w:p w:rsidR="00261FC5" w:rsidRPr="00F37242" w:rsidRDefault="00261FC5"/>
    <w:p w:rsidR="00F37242" w:rsidRDefault="00F37242">
      <w:pPr>
        <w:rPr>
          <w:sz w:val="24"/>
          <w:szCs w:val="24"/>
        </w:rPr>
      </w:pPr>
      <w:r>
        <w:rPr>
          <w:sz w:val="24"/>
          <w:szCs w:val="24"/>
        </w:rPr>
        <w:br w:type="page"/>
      </w:r>
    </w:p>
    <w:p w:rsidR="00F37242" w:rsidRDefault="00F37242" w:rsidP="00F37242"/>
    <w:p w:rsidR="00F37242" w:rsidRPr="00633788" w:rsidRDefault="00F37242" w:rsidP="00F37242">
      <w:pPr>
        <w:pStyle w:val="PlainText"/>
        <w:rPr>
          <w:rFonts w:asciiTheme="minorHAnsi" w:hAnsiTheme="minorHAnsi"/>
          <w:b/>
          <w:sz w:val="22"/>
          <w:szCs w:val="22"/>
        </w:rPr>
      </w:pPr>
      <w:r w:rsidRPr="00633788">
        <w:rPr>
          <w:rFonts w:asciiTheme="minorHAnsi" w:hAnsiTheme="minorHAnsi"/>
          <w:b/>
          <w:sz w:val="22"/>
          <w:szCs w:val="22"/>
        </w:rPr>
        <w:t>Title:  U.S. Energy Security and Water</w:t>
      </w:r>
    </w:p>
    <w:p w:rsidR="00F37242" w:rsidRPr="00633788" w:rsidRDefault="00F37242" w:rsidP="00F37242">
      <w:pPr>
        <w:pStyle w:val="PlainText"/>
        <w:rPr>
          <w:rFonts w:asciiTheme="minorHAnsi" w:hAnsiTheme="minorHAnsi"/>
          <w:b/>
          <w:sz w:val="22"/>
          <w:szCs w:val="22"/>
        </w:rPr>
      </w:pPr>
    </w:p>
    <w:p w:rsidR="00F37242" w:rsidRPr="00633788" w:rsidRDefault="00F37242" w:rsidP="00F37242">
      <w:pPr>
        <w:pStyle w:val="PlainText"/>
        <w:rPr>
          <w:rFonts w:asciiTheme="minorHAnsi" w:hAnsiTheme="minorHAnsi"/>
          <w:b/>
          <w:sz w:val="22"/>
          <w:szCs w:val="22"/>
        </w:rPr>
      </w:pPr>
      <w:r w:rsidRPr="00633788">
        <w:rPr>
          <w:rFonts w:asciiTheme="minorHAnsi" w:hAnsiTheme="minorHAnsi"/>
          <w:b/>
          <w:sz w:val="22"/>
          <w:szCs w:val="22"/>
        </w:rPr>
        <w:t>Speaker: Paul Faeth, CNA Corp</w:t>
      </w:r>
    </w:p>
    <w:p w:rsidR="00F37242" w:rsidRPr="00633788" w:rsidRDefault="00F37242" w:rsidP="00F37242">
      <w:pPr>
        <w:pStyle w:val="PlainText"/>
        <w:rPr>
          <w:rFonts w:asciiTheme="minorHAnsi" w:hAnsiTheme="minorHAnsi"/>
          <w:b/>
          <w:sz w:val="22"/>
          <w:szCs w:val="22"/>
        </w:rPr>
      </w:pPr>
    </w:p>
    <w:p w:rsidR="00F37242" w:rsidRPr="00633788" w:rsidRDefault="00F37242" w:rsidP="00F37242">
      <w:pPr>
        <w:pStyle w:val="PlainText"/>
        <w:rPr>
          <w:rFonts w:asciiTheme="minorHAnsi" w:hAnsiTheme="minorHAnsi"/>
          <w:b/>
          <w:sz w:val="22"/>
          <w:szCs w:val="22"/>
        </w:rPr>
      </w:pPr>
      <w:r w:rsidRPr="00633788">
        <w:rPr>
          <w:rFonts w:asciiTheme="minorHAnsi" w:hAnsiTheme="minorHAnsi"/>
          <w:b/>
          <w:sz w:val="22"/>
          <w:szCs w:val="22"/>
        </w:rPr>
        <w:t>Abstract:</w:t>
      </w:r>
    </w:p>
    <w:p w:rsidR="00F37242" w:rsidRPr="00F37242" w:rsidRDefault="00F37242" w:rsidP="00F37242">
      <w:pPr>
        <w:spacing w:line="360" w:lineRule="auto"/>
        <w:ind w:firstLine="720"/>
      </w:pPr>
    </w:p>
    <w:p w:rsidR="00F37242" w:rsidRPr="00F37242" w:rsidRDefault="00F37242" w:rsidP="00F37242">
      <w:pPr>
        <w:spacing w:line="360" w:lineRule="auto"/>
        <w:ind w:firstLine="720"/>
      </w:pPr>
      <w:r w:rsidRPr="00F37242">
        <w:t xml:space="preserve">U.S. national security interests can cover a variety of issues, but one that has been enduring over the last forty years has been energy security, which means that there are sufficient supplies of energy at prices that do not disrupt ordinary economic and social activity. The nature of the energy security challenge has morphed over those decades to include carbon dioxide emissions from fossil fuels, and more recently, the security of electricity supplies. </w:t>
      </w:r>
    </w:p>
    <w:p w:rsidR="00F37242" w:rsidRPr="00F37242" w:rsidRDefault="00F37242" w:rsidP="00F37242">
      <w:pPr>
        <w:spacing w:line="360" w:lineRule="auto"/>
        <w:ind w:firstLine="720"/>
      </w:pPr>
      <w:r w:rsidRPr="00F37242">
        <w:t>Now, as the nature of interdependencies between energy and water are becoming clearer, so too the connections between water and national security are also becoming clearer and adding new challenges. Leading options to respond to the need to increase energy security by increasing the domestic production of oil and oil substitutes, and reducing GHG emissions through carbon capture and sequestration , may be limited because of water quantity or quality constraints. And in the electric power sector, expansion of conventional supplies to meet demand may be constrained because significant parts of the country, water supplies are expected to be insufficient. There are energy options though, that can reduce energy dependence, cut emissions, and conserve water. This presentation will explore these issues.</w:t>
      </w:r>
    </w:p>
    <w:p w:rsidR="00F37242" w:rsidRPr="00633788" w:rsidRDefault="00F37242" w:rsidP="00F37242">
      <w:pPr>
        <w:rPr>
          <w:b/>
          <w:bCs/>
          <w:color w:val="1F497D"/>
        </w:rPr>
      </w:pPr>
      <w:r w:rsidRPr="00633788">
        <w:rPr>
          <w:b/>
          <w:bCs/>
          <w:color w:val="1F497D"/>
        </w:rPr>
        <w:t>Contact:</w:t>
      </w:r>
    </w:p>
    <w:p w:rsidR="00F37242" w:rsidRPr="00F37242" w:rsidRDefault="00F37242" w:rsidP="00F37242">
      <w:pPr>
        <w:rPr>
          <w:b/>
          <w:bCs/>
          <w:color w:val="1F497D"/>
        </w:rPr>
      </w:pPr>
      <w:r w:rsidRPr="00633788">
        <w:rPr>
          <w:bCs/>
          <w:color w:val="1F497D"/>
        </w:rPr>
        <w:t>Paul Faeth,</w:t>
      </w:r>
      <w:r>
        <w:rPr>
          <w:b/>
          <w:bCs/>
          <w:color w:val="1F497D"/>
        </w:rPr>
        <w:t xml:space="preserve"> </w:t>
      </w:r>
      <w:r w:rsidRPr="00F37242">
        <w:rPr>
          <w:color w:val="1F497D"/>
        </w:rPr>
        <w:t>Senior Fellow</w:t>
      </w:r>
      <w:r>
        <w:rPr>
          <w:b/>
          <w:bCs/>
          <w:color w:val="1F497D"/>
        </w:rPr>
        <w:br/>
      </w:r>
      <w:r w:rsidRPr="00F37242">
        <w:rPr>
          <w:color w:val="1F497D"/>
        </w:rPr>
        <w:t>CNA Corp</w:t>
      </w:r>
      <w:proofErr w:type="gramStart"/>
      <w:r w:rsidRPr="00F37242">
        <w:rPr>
          <w:color w:val="1F497D"/>
        </w:rPr>
        <w:t>.</w:t>
      </w:r>
      <w:proofErr w:type="gramEnd"/>
      <w:r>
        <w:rPr>
          <w:b/>
          <w:bCs/>
          <w:color w:val="1F497D"/>
        </w:rPr>
        <w:br/>
      </w:r>
      <w:r w:rsidRPr="00F37242">
        <w:rPr>
          <w:color w:val="1F497D"/>
        </w:rPr>
        <w:t>4825 Mark Center Drive</w:t>
      </w:r>
      <w:r>
        <w:rPr>
          <w:b/>
          <w:bCs/>
          <w:color w:val="1F497D"/>
        </w:rPr>
        <w:br/>
      </w:r>
      <w:r w:rsidRPr="00F37242">
        <w:rPr>
          <w:color w:val="1F497D"/>
        </w:rPr>
        <w:t>Alexandria, VA 22311-1850</w:t>
      </w:r>
      <w:r>
        <w:rPr>
          <w:b/>
          <w:bCs/>
          <w:color w:val="1F497D"/>
        </w:rPr>
        <w:br/>
      </w:r>
      <w:r w:rsidRPr="00F37242">
        <w:rPr>
          <w:color w:val="1F497D"/>
        </w:rPr>
        <w:t>T: 1-703-824-2286</w:t>
      </w:r>
      <w:r>
        <w:rPr>
          <w:b/>
          <w:bCs/>
          <w:color w:val="1F497D"/>
        </w:rPr>
        <w:br/>
      </w:r>
      <w:r w:rsidRPr="00F37242">
        <w:rPr>
          <w:color w:val="1F497D"/>
        </w:rPr>
        <w:t>C: 1-202-295-5471</w:t>
      </w:r>
      <w:r>
        <w:rPr>
          <w:b/>
          <w:bCs/>
          <w:color w:val="1F497D"/>
        </w:rPr>
        <w:br/>
      </w:r>
      <w:hyperlink r:id="rId6" w:history="1">
        <w:r w:rsidRPr="00F37242">
          <w:rPr>
            <w:rStyle w:val="Hyperlink"/>
          </w:rPr>
          <w:t>www.cna.org</w:t>
        </w:r>
      </w:hyperlink>
    </w:p>
    <w:p w:rsidR="00F37242" w:rsidRDefault="00F37242">
      <w:pPr>
        <w:rPr>
          <w:sz w:val="24"/>
          <w:szCs w:val="24"/>
        </w:rPr>
      </w:pPr>
      <w:r>
        <w:rPr>
          <w:sz w:val="24"/>
          <w:szCs w:val="24"/>
        </w:rPr>
        <w:br w:type="page"/>
      </w:r>
    </w:p>
    <w:p w:rsidR="00633788" w:rsidRPr="00633788" w:rsidRDefault="00F37242" w:rsidP="00633788">
      <w:pPr>
        <w:rPr>
          <w:b/>
          <w:sz w:val="24"/>
          <w:szCs w:val="24"/>
        </w:rPr>
      </w:pPr>
      <w:r w:rsidRPr="00633788">
        <w:rPr>
          <w:b/>
          <w:sz w:val="24"/>
          <w:szCs w:val="24"/>
        </w:rPr>
        <w:lastRenderedPageBreak/>
        <w:t xml:space="preserve">Title: </w:t>
      </w:r>
      <w:r w:rsidR="00633788" w:rsidRPr="00633788">
        <w:rPr>
          <w:b/>
          <w:sz w:val="24"/>
          <w:szCs w:val="24"/>
        </w:rPr>
        <w:t>The energy-water security nexus -</w:t>
      </w:r>
      <w:r w:rsidR="00674B5D" w:rsidRPr="00633788">
        <w:rPr>
          <w:b/>
          <w:sz w:val="24"/>
          <w:szCs w:val="24"/>
        </w:rPr>
        <w:t xml:space="preserve"> a military view</w:t>
      </w:r>
    </w:p>
    <w:p w:rsidR="00633788" w:rsidRPr="00352C1E" w:rsidRDefault="00633788" w:rsidP="00633788">
      <w:pPr>
        <w:pStyle w:val="PlainText"/>
        <w:rPr>
          <w:rFonts w:asciiTheme="minorHAnsi" w:hAnsiTheme="minorHAnsi" w:cstheme="minorHAnsi"/>
          <w:b/>
          <w:sz w:val="24"/>
          <w:szCs w:val="24"/>
        </w:rPr>
      </w:pPr>
      <w:r w:rsidRPr="00633788">
        <w:rPr>
          <w:rFonts w:asciiTheme="minorHAnsi" w:hAnsiTheme="minorHAnsi"/>
          <w:b/>
          <w:sz w:val="22"/>
          <w:szCs w:val="22"/>
        </w:rPr>
        <w:t xml:space="preserve">Speaker: </w:t>
      </w:r>
      <w:r w:rsidR="007B61EB">
        <w:rPr>
          <w:rFonts w:asciiTheme="minorHAnsi" w:hAnsiTheme="minorHAnsi"/>
          <w:b/>
          <w:sz w:val="22"/>
          <w:szCs w:val="22"/>
        </w:rPr>
        <w:t xml:space="preserve"> </w:t>
      </w:r>
      <w:r w:rsidR="007B61EB" w:rsidRPr="00352C1E">
        <w:rPr>
          <w:rFonts w:asciiTheme="minorHAnsi" w:hAnsiTheme="minorHAnsi" w:cstheme="minorHAnsi"/>
          <w:sz w:val="24"/>
          <w:szCs w:val="24"/>
        </w:rPr>
        <w:t xml:space="preserve">Chad </w:t>
      </w:r>
      <w:r w:rsidR="007B61EB" w:rsidRPr="00352C1E">
        <w:rPr>
          <w:rFonts w:asciiTheme="minorHAnsi" w:hAnsiTheme="minorHAnsi" w:cstheme="minorHAnsi"/>
          <w:sz w:val="24"/>
          <w:szCs w:val="24"/>
        </w:rPr>
        <w:t>Briggs</w:t>
      </w:r>
      <w:r w:rsidR="007B61EB" w:rsidRPr="00352C1E">
        <w:rPr>
          <w:rFonts w:asciiTheme="minorHAnsi" w:hAnsiTheme="minorHAnsi" w:cstheme="minorHAnsi"/>
          <w:sz w:val="24"/>
          <w:szCs w:val="24"/>
        </w:rPr>
        <w:t xml:space="preserve">, </w:t>
      </w:r>
      <w:r w:rsidR="00352C1E" w:rsidRPr="00352C1E">
        <w:rPr>
          <w:rFonts w:asciiTheme="minorHAnsi" w:hAnsiTheme="minorHAnsi" w:cstheme="minorHAnsi"/>
          <w:sz w:val="24"/>
          <w:szCs w:val="24"/>
        </w:rPr>
        <w:t>US Air University</w:t>
      </w:r>
      <w:r w:rsidR="00352C1E">
        <w:rPr>
          <w:rFonts w:asciiTheme="minorHAnsi" w:hAnsiTheme="minorHAnsi" w:cstheme="minorHAnsi"/>
          <w:sz w:val="24"/>
          <w:szCs w:val="24"/>
        </w:rPr>
        <w:t xml:space="preserve"> / USAF Minerva</w:t>
      </w:r>
    </w:p>
    <w:p w:rsidR="00633788" w:rsidRPr="00633788" w:rsidRDefault="00633788" w:rsidP="00633788">
      <w:pPr>
        <w:pStyle w:val="PlainText"/>
        <w:rPr>
          <w:rFonts w:asciiTheme="minorHAnsi" w:hAnsiTheme="minorHAnsi"/>
          <w:b/>
          <w:sz w:val="22"/>
          <w:szCs w:val="22"/>
        </w:rPr>
      </w:pPr>
    </w:p>
    <w:p w:rsidR="00633788" w:rsidRPr="00633788" w:rsidRDefault="00633788" w:rsidP="00633788">
      <w:pPr>
        <w:pStyle w:val="PlainText"/>
        <w:rPr>
          <w:rFonts w:asciiTheme="minorHAnsi" w:hAnsiTheme="minorHAnsi"/>
          <w:b/>
          <w:sz w:val="22"/>
          <w:szCs w:val="22"/>
        </w:rPr>
      </w:pPr>
      <w:r w:rsidRPr="00633788">
        <w:rPr>
          <w:rFonts w:asciiTheme="minorHAnsi" w:hAnsiTheme="minorHAnsi"/>
          <w:b/>
          <w:sz w:val="22"/>
          <w:szCs w:val="22"/>
        </w:rPr>
        <w:t>Abstract:</w:t>
      </w:r>
    </w:p>
    <w:p w:rsidR="00633788" w:rsidRDefault="00633788" w:rsidP="00674B5D">
      <w:pPr>
        <w:rPr>
          <w:sz w:val="24"/>
          <w:szCs w:val="24"/>
        </w:rPr>
      </w:pPr>
    </w:p>
    <w:p w:rsidR="00674B5D" w:rsidRDefault="00674B5D" w:rsidP="00674B5D">
      <w:pPr>
        <w:rPr>
          <w:sz w:val="24"/>
          <w:szCs w:val="24"/>
        </w:rPr>
      </w:pPr>
      <w:r>
        <w:rPr>
          <w:sz w:val="24"/>
          <w:szCs w:val="24"/>
        </w:rPr>
        <w:t>Since 2010 the US Air Force Minerva program has focused on energy and environmental security, with an emphasis on scenario and risk planning for military operations and strategy. Drawing from previous experience with the Dept of Energy’s intelligence office, USAF Minerva is helping to identify potential surprises and ‘wild cards’ in planning, in part by translating scientific data into security risk frameworks. This presentation will give an overview to these goals, give examples of where environmental influences on energy production (particularly related to water) can pose significant security risks to the US military, and suggest how civilian and industry scientists can assist in these efforts.</w:t>
      </w:r>
    </w:p>
    <w:p w:rsidR="00674B5D" w:rsidRPr="00633788" w:rsidRDefault="00633788" w:rsidP="00674B5D">
      <w:pPr>
        <w:rPr>
          <w:b/>
          <w:bCs/>
          <w:color w:val="000000" w:themeColor="text1"/>
        </w:rPr>
      </w:pPr>
      <w:r w:rsidRPr="00633788">
        <w:rPr>
          <w:b/>
          <w:bCs/>
          <w:color w:val="000000" w:themeColor="text1"/>
        </w:rPr>
        <w:t>Contact:</w:t>
      </w:r>
    </w:p>
    <w:p w:rsidR="00674B5D" w:rsidRPr="00633788" w:rsidRDefault="00674B5D" w:rsidP="00674B5D">
      <w:pPr>
        <w:rPr>
          <w:sz w:val="24"/>
          <w:szCs w:val="24"/>
        </w:rPr>
      </w:pPr>
      <w:r>
        <w:rPr>
          <w:sz w:val="24"/>
          <w:szCs w:val="24"/>
        </w:rPr>
        <w:t>Chad M Briggs, PhD</w:t>
      </w:r>
      <w:r w:rsidR="00633788">
        <w:rPr>
          <w:sz w:val="24"/>
          <w:szCs w:val="24"/>
        </w:rPr>
        <w:br/>
      </w:r>
      <w:r>
        <w:rPr>
          <w:sz w:val="24"/>
          <w:szCs w:val="24"/>
        </w:rPr>
        <w:t>Minerva Defense Fellow &amp; Chair of Energy and Environmental Security</w:t>
      </w:r>
      <w:r w:rsidR="00633788">
        <w:rPr>
          <w:sz w:val="24"/>
          <w:szCs w:val="24"/>
        </w:rPr>
        <w:br/>
      </w:r>
      <w:r>
        <w:rPr>
          <w:sz w:val="24"/>
          <w:szCs w:val="24"/>
        </w:rPr>
        <w:t>Spaatz Center, US Air University, Maxwell AFB, AL</w:t>
      </w:r>
      <w:r w:rsidR="00633788">
        <w:rPr>
          <w:sz w:val="24"/>
          <w:szCs w:val="24"/>
        </w:rPr>
        <w:br/>
      </w:r>
      <w:hyperlink r:id="rId7" w:history="1">
        <w:r>
          <w:rPr>
            <w:rStyle w:val="Hyperlink"/>
            <w:sz w:val="24"/>
            <w:szCs w:val="24"/>
          </w:rPr>
          <w:t>chad.briggs@afminerva.us</w:t>
        </w:r>
      </w:hyperlink>
      <w:r w:rsidR="00633788">
        <w:rPr>
          <w:sz w:val="24"/>
          <w:szCs w:val="24"/>
        </w:rPr>
        <w:br/>
      </w:r>
      <w:r>
        <w:t>TEL +1 (613) 295-6614</w:t>
      </w:r>
    </w:p>
    <w:p w:rsidR="00674B5D" w:rsidRDefault="00674B5D" w:rsidP="00674B5D">
      <w:pPr>
        <w:rPr>
          <w:color w:val="1F497D"/>
        </w:rPr>
      </w:pPr>
    </w:p>
    <w:p w:rsidR="00674B5D" w:rsidRDefault="00674B5D"/>
    <w:sectPr w:rsidR="00674B5D" w:rsidSect="00261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71A23"/>
    <w:multiLevelType w:val="hybridMultilevel"/>
    <w:tmpl w:val="F4F604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A80"/>
    <w:rsid w:val="00261FC5"/>
    <w:rsid w:val="00352C1E"/>
    <w:rsid w:val="004E4A80"/>
    <w:rsid w:val="005A4EAC"/>
    <w:rsid w:val="00633788"/>
    <w:rsid w:val="00674B5D"/>
    <w:rsid w:val="00785B05"/>
    <w:rsid w:val="007B61EB"/>
    <w:rsid w:val="00921775"/>
    <w:rsid w:val="00CE59D3"/>
    <w:rsid w:val="00F3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4A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E4A80"/>
    <w:rPr>
      <w:rFonts w:ascii="Consolas" w:hAnsi="Consolas"/>
      <w:sz w:val="21"/>
      <w:szCs w:val="21"/>
    </w:rPr>
  </w:style>
  <w:style w:type="character" w:styleId="Hyperlink">
    <w:name w:val="Hyperlink"/>
    <w:basedOn w:val="DefaultParagraphFont"/>
    <w:uiPriority w:val="99"/>
    <w:semiHidden/>
    <w:unhideWhenUsed/>
    <w:rsid w:val="00674B5D"/>
    <w:rPr>
      <w:color w:val="0000FF"/>
      <w:u w:val="single"/>
    </w:rPr>
  </w:style>
  <w:style w:type="paragraph" w:styleId="ListParagraph">
    <w:name w:val="List Paragraph"/>
    <w:basedOn w:val="Normal"/>
    <w:uiPriority w:val="34"/>
    <w:qFormat/>
    <w:rsid w:val="00921775"/>
    <w:pPr>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4A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E4A80"/>
    <w:rPr>
      <w:rFonts w:ascii="Consolas" w:hAnsi="Consolas"/>
      <w:sz w:val="21"/>
      <w:szCs w:val="21"/>
    </w:rPr>
  </w:style>
  <w:style w:type="character" w:styleId="Hyperlink">
    <w:name w:val="Hyperlink"/>
    <w:basedOn w:val="DefaultParagraphFont"/>
    <w:uiPriority w:val="99"/>
    <w:semiHidden/>
    <w:unhideWhenUsed/>
    <w:rsid w:val="00674B5D"/>
    <w:rPr>
      <w:color w:val="0000FF"/>
      <w:u w:val="single"/>
    </w:rPr>
  </w:style>
  <w:style w:type="paragraph" w:styleId="ListParagraph">
    <w:name w:val="List Paragraph"/>
    <w:basedOn w:val="Normal"/>
    <w:uiPriority w:val="34"/>
    <w:qFormat/>
    <w:rsid w:val="00921775"/>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1189">
      <w:bodyDiv w:val="1"/>
      <w:marLeft w:val="0"/>
      <w:marRight w:val="0"/>
      <w:marTop w:val="0"/>
      <w:marBottom w:val="0"/>
      <w:divBdr>
        <w:top w:val="none" w:sz="0" w:space="0" w:color="auto"/>
        <w:left w:val="none" w:sz="0" w:space="0" w:color="auto"/>
        <w:bottom w:val="none" w:sz="0" w:space="0" w:color="auto"/>
        <w:right w:val="none" w:sz="0" w:space="0" w:color="auto"/>
      </w:divBdr>
    </w:div>
    <w:div w:id="1011839060">
      <w:bodyDiv w:val="1"/>
      <w:marLeft w:val="0"/>
      <w:marRight w:val="0"/>
      <w:marTop w:val="0"/>
      <w:marBottom w:val="0"/>
      <w:divBdr>
        <w:top w:val="none" w:sz="0" w:space="0" w:color="auto"/>
        <w:left w:val="none" w:sz="0" w:space="0" w:color="auto"/>
        <w:bottom w:val="none" w:sz="0" w:space="0" w:color="auto"/>
        <w:right w:val="none" w:sz="0" w:space="0" w:color="auto"/>
      </w:divBdr>
    </w:div>
    <w:div w:id="1356078930">
      <w:bodyDiv w:val="1"/>
      <w:marLeft w:val="0"/>
      <w:marRight w:val="0"/>
      <w:marTop w:val="0"/>
      <w:marBottom w:val="0"/>
      <w:divBdr>
        <w:top w:val="none" w:sz="0" w:space="0" w:color="auto"/>
        <w:left w:val="none" w:sz="0" w:space="0" w:color="auto"/>
        <w:bottom w:val="none" w:sz="0" w:space="0" w:color="auto"/>
        <w:right w:val="none" w:sz="0" w:space="0" w:color="auto"/>
      </w:divBdr>
    </w:div>
    <w:div w:id="1522664457">
      <w:bodyDiv w:val="1"/>
      <w:marLeft w:val="0"/>
      <w:marRight w:val="0"/>
      <w:marTop w:val="0"/>
      <w:marBottom w:val="0"/>
      <w:divBdr>
        <w:top w:val="none" w:sz="0" w:space="0" w:color="auto"/>
        <w:left w:val="none" w:sz="0" w:space="0" w:color="auto"/>
        <w:bottom w:val="none" w:sz="0" w:space="0" w:color="auto"/>
        <w:right w:val="none" w:sz="0" w:space="0" w:color="auto"/>
      </w:divBdr>
    </w:div>
    <w:div w:id="188671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had.briggs@afminerv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G51219</dc:creator>
  <cp:lastModifiedBy>Kumar</cp:lastModifiedBy>
  <cp:revision>2</cp:revision>
  <dcterms:created xsi:type="dcterms:W3CDTF">2012-06-27T16:39:00Z</dcterms:created>
  <dcterms:modified xsi:type="dcterms:W3CDTF">2012-06-27T16:39:00Z</dcterms:modified>
</cp:coreProperties>
</file>